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22" w:rsidRDefault="0007724B" w:rsidP="00C5238A">
      <w:pPr>
        <w:tabs>
          <w:tab w:val="left" w:pos="142"/>
        </w:tabs>
        <w:spacing w:after="0" w:line="360" w:lineRule="auto"/>
        <w:ind w:left="567" w:right="566"/>
        <w:jc w:val="both"/>
        <w:rPr>
          <w:rFonts w:ascii="Times New Roman" w:eastAsia="Calibri" w:hAnsi="Times New Roman" w:cs="Times New Roman"/>
          <w:b/>
        </w:rPr>
      </w:pPr>
      <w:r>
        <w:rPr>
          <w:rFonts w:ascii="Times New Roman" w:eastAsia="Calibri" w:hAnsi="Times New Roman" w:cs="Times New Roman"/>
          <w:b/>
        </w:rPr>
        <w:t>Tribunale di Pavia</w:t>
      </w:r>
      <w:r w:rsidR="00316A33">
        <w:rPr>
          <w:rFonts w:ascii="Times New Roman" w:eastAsia="Calibri" w:hAnsi="Times New Roman" w:cs="Times New Roman"/>
          <w:b/>
        </w:rPr>
        <w:t xml:space="preserve">.  -  </w:t>
      </w:r>
      <w:r w:rsidR="00230522">
        <w:rPr>
          <w:rFonts w:ascii="Times New Roman" w:eastAsia="Calibri" w:hAnsi="Times New Roman" w:cs="Times New Roman"/>
          <w:b/>
        </w:rPr>
        <w:t>del 7 maggio 2015</w:t>
      </w:r>
    </w:p>
    <w:p w:rsidR="00316A33" w:rsidRDefault="00316A33" w:rsidP="00C5238A">
      <w:pPr>
        <w:tabs>
          <w:tab w:val="left" w:pos="142"/>
        </w:tabs>
        <w:spacing w:after="0" w:line="360" w:lineRule="auto"/>
        <w:ind w:left="567" w:right="566"/>
        <w:jc w:val="both"/>
        <w:rPr>
          <w:rFonts w:ascii="Times New Roman" w:eastAsia="Calibri" w:hAnsi="Times New Roman" w:cs="Times New Roman"/>
          <w:b/>
        </w:rPr>
      </w:pPr>
      <w:proofErr w:type="spellStart"/>
      <w:r>
        <w:rPr>
          <w:rFonts w:ascii="Times New Roman" w:eastAsia="Calibri" w:hAnsi="Times New Roman" w:cs="Times New Roman"/>
          <w:b/>
        </w:rPr>
        <w:t>Rg</w:t>
      </w:r>
      <w:proofErr w:type="spellEnd"/>
      <w:r>
        <w:rPr>
          <w:rFonts w:ascii="Times New Roman" w:eastAsia="Calibri" w:hAnsi="Times New Roman" w:cs="Times New Roman"/>
          <w:b/>
        </w:rPr>
        <w:t>. 2549/2014</w:t>
      </w:r>
    </w:p>
    <w:p w:rsidR="00316A33" w:rsidRPr="00BA7255" w:rsidRDefault="00316A33" w:rsidP="00C5238A">
      <w:pPr>
        <w:tabs>
          <w:tab w:val="left" w:pos="142"/>
        </w:tabs>
        <w:spacing w:after="0" w:line="360" w:lineRule="auto"/>
        <w:ind w:left="567" w:right="566"/>
        <w:jc w:val="both"/>
        <w:rPr>
          <w:rFonts w:ascii="Times New Roman" w:eastAsia="Calibri" w:hAnsi="Times New Roman" w:cs="Times New Roman"/>
          <w:b/>
          <w:u w:val="single"/>
        </w:rPr>
      </w:pPr>
      <w:r w:rsidRPr="00BA7255">
        <w:rPr>
          <w:rFonts w:ascii="Times New Roman" w:eastAsia="Calibri" w:hAnsi="Times New Roman" w:cs="Times New Roman"/>
          <w:b/>
          <w:u w:val="single"/>
        </w:rPr>
        <w:t>Decreto di Sospensione dell’esecuzione mobiliare e delle operazioni di vendita.</w:t>
      </w:r>
    </w:p>
    <w:p w:rsidR="0007724B" w:rsidRDefault="00230522" w:rsidP="00C5238A">
      <w:pPr>
        <w:tabs>
          <w:tab w:val="left" w:pos="142"/>
        </w:tabs>
        <w:spacing w:after="0" w:line="360" w:lineRule="auto"/>
        <w:ind w:left="567" w:right="566"/>
        <w:jc w:val="both"/>
        <w:rPr>
          <w:rFonts w:ascii="Times New Roman" w:eastAsia="Calibri" w:hAnsi="Times New Roman" w:cs="Times New Roman"/>
          <w:b/>
        </w:rPr>
      </w:pPr>
      <w:r>
        <w:rPr>
          <w:rFonts w:ascii="Times New Roman" w:eastAsia="Calibri" w:hAnsi="Times New Roman" w:cs="Times New Roman"/>
          <w:b/>
        </w:rPr>
        <w:t>Il provvedimento</w:t>
      </w:r>
      <w:r w:rsidR="00BA7255" w:rsidRPr="00BA7255">
        <w:rPr>
          <w:rFonts w:ascii="Times New Roman" w:eastAsia="Calibri" w:hAnsi="Times New Roman" w:cs="Times New Roman"/>
          <w:b/>
        </w:rPr>
        <w:t xml:space="preserve"> in commento risulta estremamente importante ai fini dell’annosa questione</w:t>
      </w:r>
      <w:r w:rsidR="00BA7255">
        <w:rPr>
          <w:rFonts w:ascii="Times New Roman" w:eastAsia="Calibri" w:hAnsi="Times New Roman" w:cs="Times New Roman"/>
          <w:b/>
        </w:rPr>
        <w:t xml:space="preserve"> relativa all’u</w:t>
      </w:r>
      <w:r w:rsidR="0007724B" w:rsidRPr="0007724B">
        <w:rPr>
          <w:rFonts w:ascii="Times New Roman" w:eastAsia="Calibri" w:hAnsi="Times New Roman" w:cs="Times New Roman"/>
          <w:b/>
        </w:rPr>
        <w:t xml:space="preserve">surarietà del contratto di </w:t>
      </w:r>
      <w:r w:rsidR="00BA7255">
        <w:rPr>
          <w:rFonts w:ascii="Times New Roman" w:eastAsia="Calibri" w:hAnsi="Times New Roman" w:cs="Times New Roman"/>
          <w:b/>
        </w:rPr>
        <w:t>mutuo e della conseguente “n</w:t>
      </w:r>
      <w:r w:rsidR="00BA7255" w:rsidRPr="0007724B">
        <w:rPr>
          <w:rFonts w:ascii="Times New Roman" w:eastAsia="Calibri" w:hAnsi="Times New Roman" w:cs="Times New Roman"/>
          <w:b/>
        </w:rPr>
        <w:t>ullità</w:t>
      </w:r>
      <w:r w:rsidR="00BA7255">
        <w:rPr>
          <w:rFonts w:ascii="Times New Roman" w:eastAsia="Calibri" w:hAnsi="Times New Roman" w:cs="Times New Roman"/>
          <w:b/>
        </w:rPr>
        <w:t>”</w:t>
      </w:r>
      <w:r w:rsidR="00BA7255" w:rsidRPr="0007724B">
        <w:rPr>
          <w:rFonts w:ascii="Times New Roman" w:eastAsia="Calibri" w:hAnsi="Times New Roman" w:cs="Times New Roman"/>
          <w:b/>
        </w:rPr>
        <w:t xml:space="preserve"> del titolo</w:t>
      </w:r>
      <w:r w:rsidR="00BA7255">
        <w:rPr>
          <w:rFonts w:ascii="Times New Roman" w:eastAsia="Calibri" w:hAnsi="Times New Roman" w:cs="Times New Roman"/>
          <w:b/>
        </w:rPr>
        <w:t xml:space="preserve"> esecutivo.</w:t>
      </w:r>
    </w:p>
    <w:p w:rsidR="0007724B" w:rsidRDefault="0007724B" w:rsidP="00C5238A">
      <w:pPr>
        <w:tabs>
          <w:tab w:val="left" w:pos="142"/>
        </w:tabs>
        <w:spacing w:after="0" w:line="360" w:lineRule="auto"/>
        <w:ind w:left="567" w:right="566"/>
        <w:jc w:val="both"/>
        <w:rPr>
          <w:rFonts w:ascii="Times New Roman" w:eastAsia="Calibri" w:hAnsi="Times New Roman" w:cs="Times New Roman"/>
        </w:rPr>
      </w:pPr>
      <w:r w:rsidRPr="0007724B">
        <w:rPr>
          <w:rFonts w:ascii="Times New Roman" w:eastAsia="Calibri" w:hAnsi="Times New Roman" w:cs="Times New Roman"/>
        </w:rPr>
        <w:t>L</w:t>
      </w:r>
      <w:r w:rsidR="00BA7255">
        <w:rPr>
          <w:rFonts w:ascii="Times New Roman" w:eastAsia="Calibri" w:hAnsi="Times New Roman" w:cs="Times New Roman"/>
        </w:rPr>
        <w:t xml:space="preserve">’azione esecutiva intrapresa dalla Banca </w:t>
      </w:r>
      <w:r w:rsidRPr="0007724B">
        <w:rPr>
          <w:rFonts w:ascii="Times New Roman" w:eastAsia="Calibri" w:hAnsi="Times New Roman" w:cs="Times New Roman"/>
        </w:rPr>
        <w:t>è assolutamente illegittima in quanto fondata su titolo nullo (nella parte in cui vengono richiesti gli interessi) e, pertanto, inidoneo quale titolo esecutivo per palese violazione di una norma imperativa penale (art. 644 c.p.).</w:t>
      </w:r>
    </w:p>
    <w:p w:rsidR="00BA7255" w:rsidRPr="00496470" w:rsidRDefault="0007724B" w:rsidP="00C5238A">
      <w:pPr>
        <w:tabs>
          <w:tab w:val="left" w:pos="142"/>
        </w:tabs>
        <w:spacing w:after="0" w:line="360" w:lineRule="auto"/>
        <w:ind w:left="567" w:right="566"/>
        <w:jc w:val="both"/>
        <w:rPr>
          <w:rFonts w:ascii="Times New Roman" w:hAnsi="Times New Roman"/>
          <w:u w:val="single"/>
        </w:rPr>
      </w:pPr>
      <w:r w:rsidRPr="0007724B">
        <w:rPr>
          <w:rFonts w:ascii="Times New Roman" w:eastAsia="Calibri" w:hAnsi="Times New Roman" w:cs="Times New Roman"/>
        </w:rPr>
        <w:t>Difatti il contratto di Leasing, in riferimento al quale è sorta la descritta procedura espropriativa,</w:t>
      </w:r>
      <w:r w:rsidR="00A04032">
        <w:rPr>
          <w:rFonts w:ascii="Times New Roman" w:eastAsia="Calibri" w:hAnsi="Times New Roman" w:cs="Times New Roman"/>
        </w:rPr>
        <w:t xml:space="preserve"> presenta</w:t>
      </w:r>
      <w:r w:rsidR="008613ED">
        <w:rPr>
          <w:rFonts w:ascii="Times New Roman" w:eastAsia="Calibri" w:hAnsi="Times New Roman" w:cs="Times New Roman"/>
        </w:rPr>
        <w:t xml:space="preserve"> rilevanza in quanto </w:t>
      </w:r>
      <w:r w:rsidR="00230522">
        <w:rPr>
          <w:rFonts w:ascii="Times New Roman" w:hAnsi="Times New Roman"/>
        </w:rPr>
        <w:t>l</w:t>
      </w:r>
      <w:r w:rsidR="008613ED">
        <w:rPr>
          <w:rFonts w:ascii="Times New Roman" w:hAnsi="Times New Roman"/>
        </w:rPr>
        <w:t>’Istituto Bancario</w:t>
      </w:r>
      <w:r w:rsidR="00230522">
        <w:rPr>
          <w:rFonts w:ascii="Times New Roman" w:hAnsi="Times New Roman"/>
        </w:rPr>
        <w:t xml:space="preserve"> non si è limitato</w:t>
      </w:r>
      <w:bookmarkStart w:id="0" w:name="_GoBack"/>
      <w:bookmarkEnd w:id="0"/>
      <w:r w:rsidR="00BA7255" w:rsidRPr="00496470">
        <w:rPr>
          <w:rFonts w:ascii="Times New Roman" w:hAnsi="Times New Roman"/>
        </w:rPr>
        <w:t xml:space="preserve"> solo a “promettere” l’applicazione di un tasso ultra soglia ma, nella fattispecie, </w:t>
      </w:r>
      <w:r w:rsidR="00BA7255" w:rsidRPr="00496470">
        <w:rPr>
          <w:rFonts w:ascii="Times New Roman" w:hAnsi="Times New Roman"/>
          <w:u w:val="single"/>
        </w:rPr>
        <w:t xml:space="preserve">l’usurarietà è rinvenibile </w:t>
      </w:r>
      <w:r w:rsidR="008613ED">
        <w:rPr>
          <w:rFonts w:ascii="Times New Roman" w:hAnsi="Times New Roman"/>
          <w:u w:val="single"/>
        </w:rPr>
        <w:t xml:space="preserve">anche al momento della dazione, come </w:t>
      </w:r>
      <w:r w:rsidR="00BA7255" w:rsidRPr="00496470">
        <w:rPr>
          <w:rFonts w:ascii="Times New Roman" w:hAnsi="Times New Roman"/>
          <w:u w:val="single"/>
        </w:rPr>
        <w:t>chiaramente percepibile in ragione del precetto notificato.</w:t>
      </w:r>
    </w:p>
    <w:p w:rsidR="00BA7255" w:rsidRPr="00496470" w:rsidRDefault="00BA7255" w:rsidP="00C5238A">
      <w:pPr>
        <w:tabs>
          <w:tab w:val="left" w:pos="142"/>
        </w:tabs>
        <w:spacing w:after="0" w:line="360" w:lineRule="auto"/>
        <w:ind w:left="567" w:right="566"/>
        <w:jc w:val="both"/>
        <w:rPr>
          <w:rFonts w:ascii="Times New Roman" w:hAnsi="Times New Roman"/>
        </w:rPr>
      </w:pPr>
      <w:r w:rsidRPr="00496470">
        <w:rPr>
          <w:rFonts w:ascii="Times New Roman" w:hAnsi="Times New Roman"/>
        </w:rPr>
        <w:t xml:space="preserve">Infatti la Banca con l’intimazione </w:t>
      </w:r>
      <w:r>
        <w:rPr>
          <w:rFonts w:ascii="Times New Roman" w:hAnsi="Times New Roman"/>
        </w:rPr>
        <w:t xml:space="preserve">del </w:t>
      </w:r>
      <w:r w:rsidRPr="00496470">
        <w:rPr>
          <w:rFonts w:ascii="Times New Roman" w:hAnsi="Times New Roman"/>
        </w:rPr>
        <w:t>precett</w:t>
      </w:r>
      <w:r>
        <w:rPr>
          <w:rFonts w:ascii="Times New Roman" w:hAnsi="Times New Roman"/>
        </w:rPr>
        <w:t>o</w:t>
      </w:r>
      <w:r w:rsidRPr="00496470">
        <w:rPr>
          <w:rFonts w:ascii="Times New Roman" w:hAnsi="Times New Roman"/>
        </w:rPr>
        <w:t xml:space="preserve"> ha preteso la corresponsione degli interessi usurari cumulativamente a quelli corrispettivi convenuti in contratto. </w:t>
      </w:r>
    </w:p>
    <w:p w:rsidR="00BA7255" w:rsidRPr="00496470" w:rsidRDefault="00BA7255" w:rsidP="00C5238A">
      <w:pPr>
        <w:tabs>
          <w:tab w:val="left" w:pos="142"/>
        </w:tabs>
        <w:spacing w:after="0" w:line="360" w:lineRule="auto"/>
        <w:ind w:left="567" w:right="566"/>
        <w:jc w:val="both"/>
        <w:rPr>
          <w:rFonts w:ascii="Times New Roman" w:hAnsi="Times New Roman"/>
          <w:b/>
        </w:rPr>
      </w:pPr>
      <w:r w:rsidRPr="00496470">
        <w:rPr>
          <w:rFonts w:ascii="Times New Roman" w:hAnsi="Times New Roman"/>
          <w:b/>
        </w:rPr>
        <w:t xml:space="preserve">La banca in ultima analisi ha aggiunto al pagamento della rata (che non è di solo capitale ma comprende anche l’interesse corrispettivo) l’interesse di mora. </w:t>
      </w:r>
    </w:p>
    <w:p w:rsidR="00BA7255" w:rsidRPr="00496470" w:rsidRDefault="00BA7255" w:rsidP="00C5238A">
      <w:pPr>
        <w:tabs>
          <w:tab w:val="left" w:pos="142"/>
        </w:tabs>
        <w:spacing w:after="0" w:line="360" w:lineRule="auto"/>
        <w:ind w:left="567" w:right="566"/>
        <w:jc w:val="both"/>
        <w:rPr>
          <w:rFonts w:ascii="Times New Roman" w:hAnsi="Times New Roman"/>
        </w:rPr>
      </w:pPr>
      <w:r w:rsidRPr="00496470">
        <w:rPr>
          <w:rFonts w:ascii="Times New Roman" w:hAnsi="Times New Roman"/>
        </w:rPr>
        <w:t>Ciò in violazione dell’art.1283 c.c.: dunque, l’interesse corrispettivo non è stato sostituito da quello moratorio, ma quest’ultimo si è aggiunto a quello.</w:t>
      </w:r>
    </w:p>
    <w:p w:rsidR="008613ED" w:rsidRPr="008613ED" w:rsidRDefault="00BA7255" w:rsidP="00C5238A">
      <w:pPr>
        <w:tabs>
          <w:tab w:val="left" w:pos="142"/>
        </w:tabs>
        <w:spacing w:after="0" w:line="360" w:lineRule="auto"/>
        <w:ind w:left="567" w:right="566"/>
        <w:jc w:val="both"/>
        <w:rPr>
          <w:rFonts w:ascii="Times New Roman" w:eastAsia="Calibri" w:hAnsi="Times New Roman" w:cs="Times New Roman"/>
          <w:highlight w:val="cyan"/>
        </w:rPr>
      </w:pPr>
      <w:r w:rsidRPr="00496470">
        <w:rPr>
          <w:rFonts w:ascii="Times New Roman" w:hAnsi="Times New Roman"/>
        </w:rPr>
        <w:t xml:space="preserve">In altri termini l’interesse corrispettivo è diventato capitale, si è assimilato alla quota capitale: </w:t>
      </w:r>
      <w:r w:rsidR="008613ED">
        <w:rPr>
          <w:rFonts w:ascii="Times New Roman" w:hAnsi="Times New Roman"/>
        </w:rPr>
        <w:t xml:space="preserve">dunque </w:t>
      </w:r>
      <w:r w:rsidRPr="00496470">
        <w:rPr>
          <w:rFonts w:ascii="Times New Roman" w:hAnsi="Times New Roman"/>
        </w:rPr>
        <w:t xml:space="preserve">sulla rata non composta dal solo capitale ma anche dall’interesse corrispettivo </w:t>
      </w:r>
      <w:r w:rsidR="008613ED">
        <w:rPr>
          <w:rFonts w:ascii="Times New Roman" w:hAnsi="Times New Roman"/>
        </w:rPr>
        <w:t xml:space="preserve">si è calcolata la mora, determinando una “sommatoria dei tassi” illegittima, con conseguente </w:t>
      </w:r>
      <w:r w:rsidR="008613ED" w:rsidRPr="008613ED">
        <w:rPr>
          <w:rFonts w:ascii="Times New Roman" w:hAnsi="Times New Roman"/>
        </w:rPr>
        <w:t>i</w:t>
      </w:r>
      <w:r w:rsidR="008613ED" w:rsidRPr="008613ED">
        <w:rPr>
          <w:rFonts w:ascii="Times New Roman" w:eastAsia="Calibri" w:hAnsi="Times New Roman" w:cs="Times New Roman"/>
        </w:rPr>
        <w:t>nsussistenza della pretesa creditoria della banca per inesigibilità degli interessi usurai.</w:t>
      </w:r>
    </w:p>
    <w:p w:rsidR="008613ED" w:rsidRPr="008613ED" w:rsidRDefault="008613ED" w:rsidP="00C5238A">
      <w:pPr>
        <w:tabs>
          <w:tab w:val="left" w:pos="142"/>
        </w:tabs>
        <w:spacing w:after="0" w:line="360" w:lineRule="auto"/>
        <w:ind w:left="567" w:right="566"/>
        <w:jc w:val="both"/>
        <w:rPr>
          <w:rFonts w:ascii="Times New Roman" w:hAnsi="Times New Roman"/>
        </w:rPr>
      </w:pPr>
      <w:r>
        <w:rPr>
          <w:rFonts w:ascii="Times New Roman" w:hAnsi="Times New Roman"/>
        </w:rPr>
        <w:t xml:space="preserve">Il Giudice dell’Esecuzione, letto il ricorso, ha ritenuto opportuno sospendere le operazioni di vendita, fermando l’attività dell’Istituto Vendite </w:t>
      </w:r>
      <w:proofErr w:type="spellStart"/>
      <w:r>
        <w:rPr>
          <w:rFonts w:ascii="Times New Roman" w:hAnsi="Times New Roman"/>
        </w:rPr>
        <w:t>Giudizarie</w:t>
      </w:r>
      <w:proofErr w:type="spellEnd"/>
      <w:r>
        <w:rPr>
          <w:rFonts w:ascii="Times New Roman" w:hAnsi="Times New Roman"/>
        </w:rPr>
        <w:t xml:space="preserve">, rinvenendo sia </w:t>
      </w:r>
      <w:r w:rsidRPr="008613ED">
        <w:rPr>
          <w:rFonts w:ascii="Times New Roman" w:hAnsi="Times New Roman"/>
        </w:rPr>
        <w:t xml:space="preserve">il </w:t>
      </w:r>
      <w:proofErr w:type="spellStart"/>
      <w:r w:rsidRPr="008613ED">
        <w:rPr>
          <w:rFonts w:ascii="Times New Roman" w:hAnsi="Times New Roman"/>
          <w:b/>
          <w:i/>
        </w:rPr>
        <w:t>fumus</w:t>
      </w:r>
      <w:proofErr w:type="spellEnd"/>
      <w:r w:rsidRPr="008613ED">
        <w:rPr>
          <w:rFonts w:ascii="Times New Roman" w:hAnsi="Times New Roman"/>
        </w:rPr>
        <w:t xml:space="preserve"> necessario ai fini della concessione della chiesta cautela -attese, tra l’altro, le evidenze della richiamata perizia- stante la palese nullità parziale del titolo posto a base della minacciata esecuzione </w:t>
      </w:r>
      <w:r>
        <w:rPr>
          <w:rFonts w:ascii="Times New Roman" w:hAnsi="Times New Roman"/>
        </w:rPr>
        <w:t>per i motivi innanzi richiamati, sia</w:t>
      </w:r>
      <w:r w:rsidRPr="008613ED">
        <w:rPr>
          <w:rFonts w:ascii="Times New Roman" w:hAnsi="Times New Roman"/>
        </w:rPr>
        <w:t xml:space="preserve"> l’evidente </w:t>
      </w:r>
      <w:proofErr w:type="spellStart"/>
      <w:r w:rsidRPr="008613ED">
        <w:rPr>
          <w:rFonts w:ascii="Times New Roman" w:hAnsi="Times New Roman"/>
          <w:b/>
          <w:i/>
        </w:rPr>
        <w:t>periculumin</w:t>
      </w:r>
      <w:proofErr w:type="spellEnd"/>
      <w:r w:rsidRPr="008613ED">
        <w:rPr>
          <w:rFonts w:ascii="Times New Roman" w:hAnsi="Times New Roman"/>
          <w:b/>
          <w:i/>
        </w:rPr>
        <w:t xml:space="preserve"> mora </w:t>
      </w:r>
      <w:r w:rsidRPr="008613ED">
        <w:rPr>
          <w:rFonts w:ascii="Times New Roman" w:hAnsi="Times New Roman"/>
        </w:rPr>
        <w:t xml:space="preserve">atteso, tra l’altro, il grave ed imminente pericolo per i ricorrenti di perdere dei beni </w:t>
      </w:r>
      <w:r>
        <w:rPr>
          <w:rFonts w:ascii="Times New Roman" w:hAnsi="Times New Roman"/>
        </w:rPr>
        <w:t>pregiati</w:t>
      </w:r>
      <w:r w:rsidRPr="008613ED">
        <w:rPr>
          <w:rFonts w:ascii="Times New Roman" w:hAnsi="Times New Roman"/>
        </w:rPr>
        <w:t xml:space="preserve"> caratterizzati da una “originalità” e dal fatto che si tratta di opere di autori importanti, per cui la vendita illegittima, non consentirebbe un recupero degli stessi beni, ne’ tanto meno un restituzione di un valore e/o di beni equivalenti.</w:t>
      </w:r>
    </w:p>
    <w:p w:rsidR="008613ED" w:rsidRPr="00496470" w:rsidRDefault="00230522" w:rsidP="008613ED">
      <w:pPr>
        <w:tabs>
          <w:tab w:val="left" w:pos="142"/>
        </w:tabs>
        <w:spacing w:after="0" w:line="480" w:lineRule="auto"/>
        <w:ind w:left="567" w:right="566"/>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Avv. Riccardo Guarino</w:t>
      </w:r>
    </w:p>
    <w:p w:rsidR="00BA7255" w:rsidRPr="0007724B" w:rsidRDefault="00BA7255" w:rsidP="008613ED">
      <w:pPr>
        <w:tabs>
          <w:tab w:val="left" w:pos="142"/>
        </w:tabs>
        <w:spacing w:after="0" w:line="480" w:lineRule="auto"/>
        <w:ind w:left="567" w:right="566"/>
        <w:jc w:val="both"/>
        <w:rPr>
          <w:rFonts w:ascii="Times New Roman" w:eastAsia="Calibri" w:hAnsi="Times New Roman" w:cs="Times New Roman"/>
        </w:rPr>
      </w:pPr>
    </w:p>
    <w:sectPr w:rsidR="00BA7255" w:rsidRPr="0007724B" w:rsidSect="00D4557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07724B"/>
    <w:rsid w:val="00043C05"/>
    <w:rsid w:val="00051460"/>
    <w:rsid w:val="0007724B"/>
    <w:rsid w:val="000825C9"/>
    <w:rsid w:val="0011059C"/>
    <w:rsid w:val="00136095"/>
    <w:rsid w:val="00156B33"/>
    <w:rsid w:val="00160AAA"/>
    <w:rsid w:val="00173D7C"/>
    <w:rsid w:val="00175619"/>
    <w:rsid w:val="001C36ED"/>
    <w:rsid w:val="001C3B95"/>
    <w:rsid w:val="00200C7F"/>
    <w:rsid w:val="00213DDD"/>
    <w:rsid w:val="00230522"/>
    <w:rsid w:val="0023067B"/>
    <w:rsid w:val="00277BE3"/>
    <w:rsid w:val="002A6677"/>
    <w:rsid w:val="002A7694"/>
    <w:rsid w:val="002C10EB"/>
    <w:rsid w:val="002F24AE"/>
    <w:rsid w:val="00304D45"/>
    <w:rsid w:val="00316A33"/>
    <w:rsid w:val="00326212"/>
    <w:rsid w:val="0034194F"/>
    <w:rsid w:val="003501E4"/>
    <w:rsid w:val="0038501A"/>
    <w:rsid w:val="003A4A65"/>
    <w:rsid w:val="003C6DE4"/>
    <w:rsid w:val="003D2E61"/>
    <w:rsid w:val="003D2F0F"/>
    <w:rsid w:val="003E65F0"/>
    <w:rsid w:val="003F4E4D"/>
    <w:rsid w:val="00415530"/>
    <w:rsid w:val="00425A33"/>
    <w:rsid w:val="00431E96"/>
    <w:rsid w:val="00437B6F"/>
    <w:rsid w:val="00466E21"/>
    <w:rsid w:val="004878A9"/>
    <w:rsid w:val="004B2C29"/>
    <w:rsid w:val="004C24E7"/>
    <w:rsid w:val="004C4C92"/>
    <w:rsid w:val="004C68AE"/>
    <w:rsid w:val="004D4F82"/>
    <w:rsid w:val="004E2D1E"/>
    <w:rsid w:val="004E4783"/>
    <w:rsid w:val="004E4BC5"/>
    <w:rsid w:val="004E5B4F"/>
    <w:rsid w:val="004F6435"/>
    <w:rsid w:val="0050615F"/>
    <w:rsid w:val="0051362F"/>
    <w:rsid w:val="00516EB3"/>
    <w:rsid w:val="00532A46"/>
    <w:rsid w:val="005536DE"/>
    <w:rsid w:val="00563980"/>
    <w:rsid w:val="00592727"/>
    <w:rsid w:val="005D19D3"/>
    <w:rsid w:val="005D5783"/>
    <w:rsid w:val="005D796A"/>
    <w:rsid w:val="005E2D21"/>
    <w:rsid w:val="006018AE"/>
    <w:rsid w:val="00635B2C"/>
    <w:rsid w:val="00655BAA"/>
    <w:rsid w:val="00671347"/>
    <w:rsid w:val="00685344"/>
    <w:rsid w:val="00694E07"/>
    <w:rsid w:val="006C31B0"/>
    <w:rsid w:val="006C4FC1"/>
    <w:rsid w:val="006D14DC"/>
    <w:rsid w:val="00730DF5"/>
    <w:rsid w:val="0073513A"/>
    <w:rsid w:val="00780EC8"/>
    <w:rsid w:val="007C45DA"/>
    <w:rsid w:val="007D03B9"/>
    <w:rsid w:val="00813353"/>
    <w:rsid w:val="008613ED"/>
    <w:rsid w:val="008627C7"/>
    <w:rsid w:val="00883B89"/>
    <w:rsid w:val="00884F5C"/>
    <w:rsid w:val="008D63C5"/>
    <w:rsid w:val="0092592D"/>
    <w:rsid w:val="00931893"/>
    <w:rsid w:val="00947F57"/>
    <w:rsid w:val="009759FA"/>
    <w:rsid w:val="00977FFE"/>
    <w:rsid w:val="009C7EE4"/>
    <w:rsid w:val="00A04032"/>
    <w:rsid w:val="00A11F5E"/>
    <w:rsid w:val="00A16740"/>
    <w:rsid w:val="00A17241"/>
    <w:rsid w:val="00A25C27"/>
    <w:rsid w:val="00A33DED"/>
    <w:rsid w:val="00A61F81"/>
    <w:rsid w:val="00A940D9"/>
    <w:rsid w:val="00AB5844"/>
    <w:rsid w:val="00AD7CF8"/>
    <w:rsid w:val="00B249C7"/>
    <w:rsid w:val="00B31AE0"/>
    <w:rsid w:val="00B34B9E"/>
    <w:rsid w:val="00B41F5B"/>
    <w:rsid w:val="00B43844"/>
    <w:rsid w:val="00B64C1B"/>
    <w:rsid w:val="00B8015B"/>
    <w:rsid w:val="00B92A07"/>
    <w:rsid w:val="00BA7255"/>
    <w:rsid w:val="00C10E6F"/>
    <w:rsid w:val="00C126C3"/>
    <w:rsid w:val="00C5238A"/>
    <w:rsid w:val="00C73EF2"/>
    <w:rsid w:val="00CA6F04"/>
    <w:rsid w:val="00CC1D52"/>
    <w:rsid w:val="00CC6976"/>
    <w:rsid w:val="00CF26F4"/>
    <w:rsid w:val="00D45576"/>
    <w:rsid w:val="00D635E2"/>
    <w:rsid w:val="00D77D35"/>
    <w:rsid w:val="00D95DB8"/>
    <w:rsid w:val="00DC174E"/>
    <w:rsid w:val="00DD2140"/>
    <w:rsid w:val="00DD6E26"/>
    <w:rsid w:val="00DE74CB"/>
    <w:rsid w:val="00E0656A"/>
    <w:rsid w:val="00E10683"/>
    <w:rsid w:val="00E1189A"/>
    <w:rsid w:val="00E24F7E"/>
    <w:rsid w:val="00E97AB1"/>
    <w:rsid w:val="00EB3AE9"/>
    <w:rsid w:val="00EF03D0"/>
    <w:rsid w:val="00F37AE6"/>
    <w:rsid w:val="00F44D10"/>
    <w:rsid w:val="00F543D2"/>
    <w:rsid w:val="00F92298"/>
    <w:rsid w:val="00FA3177"/>
    <w:rsid w:val="00FA7C38"/>
    <w:rsid w:val="00FE32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5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5238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23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Utente6</dc:creator>
  <cp:lastModifiedBy>User</cp:lastModifiedBy>
  <cp:revision>2</cp:revision>
  <cp:lastPrinted>2015-05-21T15:40:00Z</cp:lastPrinted>
  <dcterms:created xsi:type="dcterms:W3CDTF">2015-05-27T10:25:00Z</dcterms:created>
  <dcterms:modified xsi:type="dcterms:W3CDTF">2015-05-27T10:25:00Z</dcterms:modified>
</cp:coreProperties>
</file>